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F3" w:rsidRPr="00D74D6A" w:rsidRDefault="00D67F49" w:rsidP="00FF00F3">
      <w:pPr>
        <w:spacing w:after="0" w:line="240" w:lineRule="auto"/>
        <w:ind w:right="-331"/>
        <w:jc w:val="center"/>
        <w:rPr>
          <w:rFonts w:ascii="Arial" w:eastAsia="MS Mincho" w:hAnsi="Arial" w:cs="Arial"/>
          <w:sz w:val="24"/>
        </w:rPr>
      </w:pPr>
      <w:r w:rsidRPr="00D74D6A">
        <w:rPr>
          <w:rFonts w:ascii="Arial" w:eastAsia="MS Mincho" w:hAnsi="Arial" w:cs="Arial"/>
          <w:sz w:val="24"/>
          <w:u w:val="single"/>
        </w:rPr>
        <w:t>Special</w:t>
      </w:r>
      <w:r w:rsidR="00FF00F3" w:rsidRPr="00D74D6A">
        <w:rPr>
          <w:rFonts w:ascii="Arial" w:eastAsia="MS Mincho" w:hAnsi="Arial" w:cs="Arial"/>
          <w:sz w:val="24"/>
          <w:u w:val="single"/>
        </w:rPr>
        <w:t xml:space="preserve"> Members’ Meetings – October 2019</w:t>
      </w:r>
    </w:p>
    <w:p w:rsidR="00FF00F3" w:rsidRPr="00FF00F3" w:rsidRDefault="00FF00F3" w:rsidP="00FF00F3">
      <w:pPr>
        <w:spacing w:after="0" w:line="120" w:lineRule="auto"/>
        <w:rPr>
          <w:rFonts w:ascii="Arial" w:eastAsia="MS Mincho" w:hAnsi="Arial" w:cs="Arial"/>
          <w:sz w:val="24"/>
          <w:szCs w:val="24"/>
        </w:rPr>
      </w:pPr>
    </w:p>
    <w:p w:rsidR="00FF00F3" w:rsidRPr="00FF00F3" w:rsidRDefault="00FF00F3" w:rsidP="00FF00F3">
      <w:pPr>
        <w:spacing w:after="0" w:line="120" w:lineRule="auto"/>
        <w:rPr>
          <w:rFonts w:ascii="Arial" w:eastAsia="MS Mincho" w:hAnsi="Arial" w:cs="Arial"/>
          <w:sz w:val="24"/>
          <w:szCs w:val="24"/>
        </w:rPr>
      </w:pPr>
    </w:p>
    <w:p w:rsidR="00FF00F3" w:rsidRPr="00FF00F3" w:rsidRDefault="00FF00F3" w:rsidP="00FF00F3">
      <w:pPr>
        <w:spacing w:after="0" w:line="120" w:lineRule="auto"/>
        <w:rPr>
          <w:rFonts w:ascii="Arial" w:eastAsia="MS Mincho" w:hAnsi="Arial" w:cs="Arial"/>
          <w:sz w:val="24"/>
          <w:szCs w:val="24"/>
        </w:rPr>
      </w:pPr>
    </w:p>
    <w:p w:rsidR="00FF00F3" w:rsidRPr="00FF00F3" w:rsidRDefault="00FF00F3" w:rsidP="00FF00F3">
      <w:pPr>
        <w:spacing w:after="0" w:line="240" w:lineRule="auto"/>
        <w:ind w:right="-331"/>
        <w:jc w:val="center"/>
        <w:rPr>
          <w:rFonts w:ascii="Arial" w:eastAsia="MS Mincho" w:hAnsi="Arial" w:cs="Arial"/>
          <w:sz w:val="24"/>
          <w:szCs w:val="24"/>
        </w:rPr>
      </w:pPr>
      <w:r w:rsidRPr="00FF00F3">
        <w:rPr>
          <w:rFonts w:ascii="Arial" w:eastAsia="MS Mincho" w:hAnsi="Arial" w:cs="Arial"/>
          <w:b/>
          <w:sz w:val="24"/>
          <w:szCs w:val="24"/>
          <w:u w:val="single"/>
        </w:rPr>
        <w:t>PROPOSALS SUBMITTED TO MEMBERS FOR APPROVAL</w:t>
      </w:r>
    </w:p>
    <w:p w:rsidR="00772F54" w:rsidRDefault="00772F54">
      <w:pPr>
        <w:rPr>
          <w:rFonts w:ascii="Arial" w:hAnsi="Arial" w:cs="Arial"/>
          <w:b/>
          <w:sz w:val="24"/>
          <w:szCs w:val="24"/>
        </w:rPr>
      </w:pPr>
    </w:p>
    <w:p w:rsidR="00B1636D" w:rsidRPr="00772F54" w:rsidRDefault="003F0BF3">
      <w:pPr>
        <w:rPr>
          <w:rFonts w:ascii="Arial" w:hAnsi="Arial" w:cs="Arial"/>
          <w:b/>
          <w:sz w:val="24"/>
          <w:szCs w:val="24"/>
        </w:rPr>
      </w:pPr>
      <w:r w:rsidRPr="00772F54">
        <w:rPr>
          <w:rFonts w:ascii="Arial" w:hAnsi="Arial" w:cs="Arial"/>
          <w:b/>
          <w:sz w:val="24"/>
          <w:szCs w:val="24"/>
        </w:rPr>
        <w:t>Why are Special Members’ Meetings being held?</w:t>
      </w:r>
    </w:p>
    <w:p w:rsidR="00501D40" w:rsidRPr="00772F54" w:rsidRDefault="003F0BF3" w:rsidP="00EF071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"/>
        </w:rPr>
      </w:pPr>
      <w:r w:rsidRPr="00772F54">
        <w:rPr>
          <w:rFonts w:ascii="Arial" w:hAnsi="Arial" w:cs="Arial"/>
          <w:sz w:val="24"/>
          <w:szCs w:val="24"/>
        </w:rPr>
        <w:t>The Board is proposing</w:t>
      </w:r>
      <w:r w:rsidR="00AA081C">
        <w:rPr>
          <w:rFonts w:ascii="Arial" w:hAnsi="Arial" w:cs="Arial"/>
          <w:sz w:val="24"/>
          <w:szCs w:val="24"/>
        </w:rPr>
        <w:t xml:space="preserve"> two rule</w:t>
      </w:r>
      <w:r w:rsidR="00D67F49">
        <w:rPr>
          <w:rFonts w:ascii="Arial" w:hAnsi="Arial" w:cs="Arial"/>
          <w:sz w:val="24"/>
          <w:szCs w:val="24"/>
        </w:rPr>
        <w:t xml:space="preserve"> </w:t>
      </w:r>
      <w:r w:rsidR="00AA081C">
        <w:rPr>
          <w:rFonts w:ascii="Arial" w:hAnsi="Arial" w:cs="Arial"/>
          <w:sz w:val="24"/>
          <w:szCs w:val="24"/>
        </w:rPr>
        <w:t>amendments as</w:t>
      </w:r>
      <w:r w:rsidR="00D67F49">
        <w:rPr>
          <w:rFonts w:ascii="Arial" w:hAnsi="Arial" w:cs="Arial"/>
          <w:sz w:val="24"/>
          <w:szCs w:val="24"/>
        </w:rPr>
        <w:t xml:space="preserve"> contained in</w:t>
      </w:r>
      <w:r w:rsidRPr="00772F54">
        <w:rPr>
          <w:rFonts w:ascii="Arial" w:hAnsi="Arial" w:cs="Arial"/>
          <w:sz w:val="24"/>
          <w:szCs w:val="24"/>
        </w:rPr>
        <w:t xml:space="preserve"> the Society’s Rule Book</w:t>
      </w:r>
      <w:r w:rsidR="00501D40" w:rsidRPr="00772F54">
        <w:rPr>
          <w:rFonts w:ascii="Arial" w:hAnsi="Arial" w:cs="Arial"/>
          <w:sz w:val="24"/>
          <w:szCs w:val="24"/>
        </w:rPr>
        <w:t xml:space="preserve"> (the Rules)</w:t>
      </w:r>
      <w:r w:rsidRPr="00772F54">
        <w:rPr>
          <w:rFonts w:ascii="Arial" w:hAnsi="Arial" w:cs="Arial"/>
          <w:sz w:val="24"/>
          <w:szCs w:val="24"/>
        </w:rPr>
        <w:t xml:space="preserve">.  The Society’s Rule Book (Rule 49) states that any changes must be put to </w:t>
      </w:r>
      <w:r w:rsidR="00772F54">
        <w:rPr>
          <w:rFonts w:ascii="Arial" w:hAnsi="Arial" w:cs="Arial"/>
          <w:sz w:val="24"/>
          <w:szCs w:val="24"/>
        </w:rPr>
        <w:t xml:space="preserve">the Society’s </w:t>
      </w:r>
      <w:r w:rsidRPr="00772F54">
        <w:rPr>
          <w:rFonts w:ascii="Arial" w:hAnsi="Arial" w:cs="Arial"/>
          <w:sz w:val="24"/>
          <w:szCs w:val="24"/>
        </w:rPr>
        <w:t>members at a Special Members’ meeting.</w:t>
      </w:r>
      <w:r w:rsidR="00501D40" w:rsidRPr="00772F54">
        <w:rPr>
          <w:rFonts w:ascii="Arial" w:eastAsia="Times New Roman" w:hAnsi="Arial" w:cs="Arial"/>
          <w:b/>
          <w:bCs/>
          <w:sz w:val="24"/>
          <w:szCs w:val="24"/>
          <w:lang w:val="en"/>
        </w:rPr>
        <w:t xml:space="preserve"> </w:t>
      </w:r>
    </w:p>
    <w:p w:rsidR="00A32F58" w:rsidRDefault="00A32F58" w:rsidP="00501D40">
      <w:pPr>
        <w:rPr>
          <w:rFonts w:ascii="Arial" w:hAnsi="Arial" w:cs="Arial"/>
          <w:b/>
          <w:sz w:val="24"/>
          <w:szCs w:val="24"/>
        </w:rPr>
      </w:pPr>
    </w:p>
    <w:p w:rsidR="00501D40" w:rsidRPr="00772F54" w:rsidRDefault="00501D40" w:rsidP="00501D40">
      <w:pPr>
        <w:rPr>
          <w:rFonts w:ascii="Arial" w:hAnsi="Arial" w:cs="Arial"/>
          <w:b/>
          <w:sz w:val="24"/>
          <w:szCs w:val="24"/>
        </w:rPr>
      </w:pPr>
      <w:r w:rsidRPr="00772F54">
        <w:rPr>
          <w:rFonts w:ascii="Arial" w:hAnsi="Arial" w:cs="Arial"/>
          <w:b/>
          <w:sz w:val="24"/>
          <w:szCs w:val="24"/>
        </w:rPr>
        <w:t>Why does the Society have Rules?</w:t>
      </w:r>
    </w:p>
    <w:p w:rsidR="00501D40" w:rsidRPr="00772F54" w:rsidRDefault="00C7506D" w:rsidP="00EF071D">
      <w:pPr>
        <w:pStyle w:val="DefaultText"/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  <w:lang w:val="en"/>
        </w:rPr>
        <w:t xml:space="preserve">The Society has a set of Rules which are </w:t>
      </w:r>
      <w:r w:rsidR="00501D40" w:rsidRPr="00772F54">
        <w:rPr>
          <w:rFonts w:ascii="Arial" w:hAnsi="Arial" w:cs="Arial"/>
          <w:bCs/>
          <w:lang w:val="en"/>
        </w:rPr>
        <w:t xml:space="preserve">approved by </w:t>
      </w:r>
      <w:r>
        <w:rPr>
          <w:rFonts w:ascii="Arial" w:hAnsi="Arial" w:cs="Arial"/>
          <w:bCs/>
          <w:lang w:val="en"/>
        </w:rPr>
        <w:t xml:space="preserve">the Society’s </w:t>
      </w:r>
      <w:r w:rsidR="00D67F49">
        <w:rPr>
          <w:rFonts w:ascii="Arial" w:hAnsi="Arial" w:cs="Arial"/>
          <w:bCs/>
          <w:lang w:val="en"/>
        </w:rPr>
        <w:t>M</w:t>
      </w:r>
      <w:r w:rsidR="00A32F58">
        <w:rPr>
          <w:rFonts w:ascii="Arial" w:hAnsi="Arial" w:cs="Arial"/>
          <w:bCs/>
          <w:lang w:val="en"/>
        </w:rPr>
        <w:t xml:space="preserve">embers.  </w:t>
      </w:r>
      <w:r w:rsidR="00501D40" w:rsidRPr="00772F54">
        <w:rPr>
          <w:rFonts w:ascii="Arial" w:hAnsi="Arial" w:cs="Arial"/>
          <w:bCs/>
          <w:lang w:val="en"/>
        </w:rPr>
        <w:t>The</w:t>
      </w:r>
      <w:r>
        <w:rPr>
          <w:rFonts w:ascii="Arial" w:hAnsi="Arial" w:cs="Arial"/>
          <w:bCs/>
          <w:lang w:val="en"/>
        </w:rPr>
        <w:t xml:space="preserve"> Rules </w:t>
      </w:r>
      <w:r w:rsidR="00501D40" w:rsidRPr="00772F54">
        <w:rPr>
          <w:rFonts w:ascii="Arial" w:hAnsi="Arial" w:cs="Arial"/>
          <w:bCs/>
          <w:lang w:val="en"/>
        </w:rPr>
        <w:t xml:space="preserve">serve as the Society's constitution and </w:t>
      </w:r>
      <w:r>
        <w:rPr>
          <w:rFonts w:ascii="Arial" w:hAnsi="Arial" w:cs="Arial"/>
          <w:bCs/>
          <w:lang w:val="en"/>
        </w:rPr>
        <w:t xml:space="preserve">are mechanism that sets </w:t>
      </w:r>
      <w:bookmarkStart w:id="0" w:name="_GoBack"/>
      <w:bookmarkEnd w:id="0"/>
      <w:r w:rsidR="00A32F58">
        <w:rPr>
          <w:rFonts w:ascii="Arial" w:hAnsi="Arial" w:cs="Arial"/>
          <w:bCs/>
          <w:lang w:val="en"/>
        </w:rPr>
        <w:t xml:space="preserve">out </w:t>
      </w:r>
      <w:r w:rsidR="00501D40" w:rsidRPr="00772F54">
        <w:rPr>
          <w:rFonts w:ascii="Arial" w:hAnsi="Arial" w:cs="Arial"/>
          <w:bCs/>
          <w:lang w:val="en"/>
        </w:rPr>
        <w:t xml:space="preserve">how the affairs of the Society are conducted on </w:t>
      </w:r>
      <w:r w:rsidR="00772F54">
        <w:rPr>
          <w:rFonts w:ascii="Arial" w:hAnsi="Arial" w:cs="Arial"/>
          <w:bCs/>
          <w:lang w:val="en"/>
        </w:rPr>
        <w:t>members’</w:t>
      </w:r>
      <w:r w:rsidR="00501D40" w:rsidRPr="00772F54">
        <w:rPr>
          <w:rFonts w:ascii="Arial" w:hAnsi="Arial" w:cs="Arial"/>
          <w:bCs/>
          <w:lang w:val="en"/>
        </w:rPr>
        <w:t xml:space="preserve"> behalf.</w:t>
      </w:r>
    </w:p>
    <w:p w:rsidR="00501D40" w:rsidRPr="00772F54" w:rsidRDefault="00501D40" w:rsidP="00EF071D">
      <w:pPr>
        <w:pStyle w:val="DefaultText"/>
        <w:rPr>
          <w:rFonts w:ascii="Arial" w:hAnsi="Arial" w:cs="Arial"/>
          <w:bCs/>
          <w:lang w:val="en"/>
        </w:rPr>
      </w:pPr>
    </w:p>
    <w:p w:rsidR="001030D0" w:rsidRPr="00772F54" w:rsidRDefault="00501D40" w:rsidP="00EF071D">
      <w:pPr>
        <w:pStyle w:val="DefaultText"/>
        <w:rPr>
          <w:rFonts w:ascii="Arial" w:hAnsi="Arial" w:cs="Arial"/>
          <w:bCs/>
          <w:lang w:val="en"/>
        </w:rPr>
      </w:pPr>
      <w:r w:rsidRPr="00772F54">
        <w:rPr>
          <w:rFonts w:ascii="Arial" w:hAnsi="Arial" w:cs="Arial"/>
          <w:bCs/>
          <w:lang w:val="en"/>
        </w:rPr>
        <w:t xml:space="preserve">The Rules set out the Society’s powers and purpose, the remit of the Board, who can be members, who can be directors, rules over the distribution </w:t>
      </w:r>
      <w:r w:rsidR="00A32F58">
        <w:rPr>
          <w:rFonts w:ascii="Arial" w:hAnsi="Arial" w:cs="Arial"/>
          <w:bCs/>
          <w:lang w:val="en"/>
        </w:rPr>
        <w:t xml:space="preserve">from the Society’s </w:t>
      </w:r>
      <w:r w:rsidRPr="00772F54">
        <w:rPr>
          <w:rFonts w:ascii="Arial" w:hAnsi="Arial" w:cs="Arial"/>
          <w:bCs/>
          <w:lang w:val="en"/>
        </w:rPr>
        <w:t>trading surplus, how members’ meetings are conducted, and how other matters should be dealt with. In brief, they provide the framework under which the Society operates on a day-to-day basis, and act as the foundation for the Society</w:t>
      </w:r>
      <w:r w:rsidR="001030D0" w:rsidRPr="00772F54">
        <w:rPr>
          <w:rFonts w:ascii="Arial" w:hAnsi="Arial" w:cs="Arial"/>
          <w:bCs/>
          <w:lang w:val="en"/>
        </w:rPr>
        <w:t>.</w:t>
      </w:r>
    </w:p>
    <w:p w:rsidR="00A32F58" w:rsidRDefault="00A32F58" w:rsidP="001030D0">
      <w:pPr>
        <w:rPr>
          <w:rFonts w:ascii="Arial" w:hAnsi="Arial" w:cs="Arial"/>
          <w:b/>
          <w:sz w:val="24"/>
          <w:szCs w:val="24"/>
        </w:rPr>
      </w:pPr>
    </w:p>
    <w:p w:rsidR="001030D0" w:rsidRPr="00772F54" w:rsidRDefault="001030D0" w:rsidP="001030D0">
      <w:pPr>
        <w:rPr>
          <w:rFonts w:ascii="Arial" w:hAnsi="Arial" w:cs="Arial"/>
          <w:b/>
          <w:sz w:val="24"/>
          <w:szCs w:val="24"/>
        </w:rPr>
      </w:pPr>
      <w:r w:rsidRPr="00772F54">
        <w:rPr>
          <w:rFonts w:ascii="Arial" w:hAnsi="Arial" w:cs="Arial"/>
          <w:b/>
          <w:sz w:val="24"/>
          <w:szCs w:val="24"/>
        </w:rPr>
        <w:t>What Rule change</w:t>
      </w:r>
      <w:r w:rsidR="00D67F49">
        <w:rPr>
          <w:rFonts w:ascii="Arial" w:hAnsi="Arial" w:cs="Arial"/>
          <w:b/>
          <w:sz w:val="24"/>
          <w:szCs w:val="24"/>
        </w:rPr>
        <w:t>s</w:t>
      </w:r>
      <w:r w:rsidRPr="00772F54">
        <w:rPr>
          <w:rFonts w:ascii="Arial" w:hAnsi="Arial" w:cs="Arial"/>
          <w:b/>
          <w:sz w:val="24"/>
          <w:szCs w:val="24"/>
        </w:rPr>
        <w:t xml:space="preserve"> </w:t>
      </w:r>
      <w:r w:rsidR="00D67F49">
        <w:rPr>
          <w:rFonts w:ascii="Arial" w:hAnsi="Arial" w:cs="Arial"/>
          <w:b/>
          <w:sz w:val="24"/>
          <w:szCs w:val="24"/>
        </w:rPr>
        <w:t>are</w:t>
      </w:r>
      <w:r w:rsidRPr="00772F54">
        <w:rPr>
          <w:rFonts w:ascii="Arial" w:hAnsi="Arial" w:cs="Arial"/>
          <w:b/>
          <w:sz w:val="24"/>
          <w:szCs w:val="24"/>
        </w:rPr>
        <w:t xml:space="preserve"> being proposed?</w:t>
      </w:r>
    </w:p>
    <w:p w:rsidR="00D67F49" w:rsidRDefault="001030D0" w:rsidP="00EF071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"/>
        </w:rPr>
      </w:pPr>
      <w:r w:rsidRPr="00772F54">
        <w:rPr>
          <w:rFonts w:ascii="Arial" w:eastAsia="Times New Roman" w:hAnsi="Arial" w:cs="Arial"/>
          <w:bCs/>
          <w:sz w:val="24"/>
          <w:szCs w:val="24"/>
          <w:lang w:val="en"/>
        </w:rPr>
        <w:t xml:space="preserve">The Board is proposing </w:t>
      </w:r>
      <w:r w:rsidR="00F04826">
        <w:rPr>
          <w:rFonts w:ascii="Arial" w:eastAsia="Times New Roman" w:hAnsi="Arial" w:cs="Arial"/>
          <w:bCs/>
          <w:sz w:val="24"/>
          <w:szCs w:val="24"/>
          <w:lang w:val="en"/>
        </w:rPr>
        <w:t>to</w:t>
      </w:r>
      <w:r w:rsidRPr="00772F54"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  <w:r w:rsidR="00D67F49">
        <w:rPr>
          <w:rFonts w:ascii="Arial" w:eastAsia="Times New Roman" w:hAnsi="Arial" w:cs="Arial"/>
          <w:bCs/>
          <w:sz w:val="24"/>
          <w:szCs w:val="24"/>
          <w:lang w:val="en"/>
        </w:rPr>
        <w:t>amend two Rules, as set out below:</w:t>
      </w:r>
    </w:p>
    <w:p w:rsidR="00A32F58" w:rsidRDefault="00A32F58" w:rsidP="00EF071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"/>
        </w:rPr>
      </w:pPr>
    </w:p>
    <w:p w:rsidR="00D67F49" w:rsidRDefault="00D67F49" w:rsidP="00EF071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"/>
        </w:rPr>
      </w:pPr>
    </w:p>
    <w:p w:rsidR="00D67F49" w:rsidRPr="001B7D78" w:rsidRDefault="00D67F49" w:rsidP="00D67F49">
      <w:pPr>
        <w:pStyle w:val="TableText"/>
        <w:numPr>
          <w:ilvl w:val="0"/>
          <w:numId w:val="2"/>
        </w:numPr>
        <w:ind w:left="426" w:hanging="426"/>
        <w:rPr>
          <w:rFonts w:ascii="Arial" w:hAnsi="Arial" w:cs="Arial"/>
          <w:b/>
          <w:sz w:val="24"/>
          <w:szCs w:val="24"/>
          <w:u w:val="single"/>
        </w:rPr>
      </w:pPr>
      <w:r w:rsidRPr="001B7D78">
        <w:rPr>
          <w:rFonts w:ascii="Arial" w:hAnsi="Arial" w:cs="Arial"/>
          <w:b/>
          <w:sz w:val="24"/>
          <w:szCs w:val="24"/>
          <w:u w:val="single"/>
        </w:rPr>
        <w:t>Proposed Rule amendment – eligibility to stand for election to the Board</w:t>
      </w:r>
    </w:p>
    <w:p w:rsidR="00D67F49" w:rsidRDefault="00D67F49" w:rsidP="00D67F49">
      <w:pPr>
        <w:pStyle w:val="TableText"/>
        <w:ind w:left="0"/>
        <w:rPr>
          <w:rFonts w:ascii="Arial" w:hAnsi="Arial" w:cs="Arial"/>
          <w:b/>
          <w:sz w:val="24"/>
          <w:szCs w:val="24"/>
        </w:rPr>
      </w:pPr>
    </w:p>
    <w:p w:rsidR="00D67F49" w:rsidRDefault="00D67F49" w:rsidP="00D67F49">
      <w:pPr>
        <w:pStyle w:val="TableTex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proposed amendment to Rule </w:t>
      </w:r>
      <w:r w:rsidR="00DB0ADB">
        <w:rPr>
          <w:rFonts w:ascii="Arial" w:hAnsi="Arial" w:cs="Arial"/>
          <w:sz w:val="24"/>
          <w:szCs w:val="24"/>
        </w:rPr>
        <w:t>90 (h)</w:t>
      </w:r>
      <w:r>
        <w:rPr>
          <w:rFonts w:ascii="Arial" w:hAnsi="Arial" w:cs="Arial"/>
          <w:sz w:val="24"/>
          <w:szCs w:val="24"/>
        </w:rPr>
        <w:t xml:space="preserve"> would allow Members who are discharged bankrupt to stand for election to the Board of the Society.</w:t>
      </w:r>
    </w:p>
    <w:p w:rsidR="00B046B3" w:rsidRDefault="00B046B3" w:rsidP="00DB0A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0ADB" w:rsidRPr="001402D1" w:rsidRDefault="00DB0ADB" w:rsidP="00DB0A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402D1">
        <w:rPr>
          <w:rFonts w:ascii="Arial" w:hAnsi="Arial" w:cs="Arial"/>
          <w:sz w:val="24"/>
          <w:szCs w:val="24"/>
        </w:rPr>
        <w:t>Rule 90</w:t>
      </w:r>
      <w:r>
        <w:rPr>
          <w:rFonts w:ascii="Arial" w:hAnsi="Arial" w:cs="Arial"/>
          <w:sz w:val="24"/>
          <w:szCs w:val="24"/>
        </w:rPr>
        <w:t xml:space="preserve"> </w:t>
      </w:r>
      <w:r w:rsidRPr="001402D1">
        <w:rPr>
          <w:rFonts w:ascii="Arial" w:hAnsi="Arial" w:cs="Arial"/>
          <w:sz w:val="24"/>
          <w:szCs w:val="24"/>
        </w:rPr>
        <w:t xml:space="preserve">(h) </w:t>
      </w:r>
      <w:r>
        <w:rPr>
          <w:rFonts w:ascii="Arial" w:hAnsi="Arial" w:cs="Arial"/>
          <w:sz w:val="24"/>
          <w:szCs w:val="24"/>
        </w:rPr>
        <w:t xml:space="preserve">currently </w:t>
      </w:r>
      <w:r w:rsidRPr="001402D1">
        <w:rPr>
          <w:rFonts w:ascii="Arial" w:hAnsi="Arial" w:cs="Arial"/>
          <w:sz w:val="24"/>
          <w:szCs w:val="24"/>
        </w:rPr>
        <w:t>states</w:t>
      </w:r>
      <w:r>
        <w:rPr>
          <w:rFonts w:ascii="Arial" w:hAnsi="Arial" w:cs="Arial"/>
          <w:sz w:val="24"/>
          <w:szCs w:val="24"/>
        </w:rPr>
        <w:t>:</w:t>
      </w:r>
    </w:p>
    <w:p w:rsidR="00DB0ADB" w:rsidRDefault="00DB0ADB" w:rsidP="00DB0A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B0ADB" w:rsidRPr="00F5202B" w:rsidRDefault="00DB0ADB" w:rsidP="00DB0ADB">
      <w:pPr>
        <w:tabs>
          <w:tab w:val="left" w:pos="0"/>
          <w:tab w:val="left" w:pos="425"/>
        </w:tabs>
        <w:spacing w:after="0"/>
        <w:ind w:left="425" w:right="-11"/>
        <w:rPr>
          <w:rFonts w:ascii="Arial" w:hAnsi="Arial" w:cs="Arial"/>
          <w:i/>
          <w:sz w:val="24"/>
          <w:szCs w:val="24"/>
        </w:rPr>
      </w:pPr>
      <w:r w:rsidRPr="00F5202B">
        <w:rPr>
          <w:rFonts w:ascii="Arial" w:hAnsi="Arial" w:cs="Arial"/>
          <w:i/>
          <w:sz w:val="24"/>
          <w:szCs w:val="24"/>
        </w:rPr>
        <w:t>90. [A person shall only be eligible to be nominated for election as a Director if they fulfil the following criteria (and if already elected shall immediately cease to be a Director if they cease to be eligible):]</w:t>
      </w:r>
    </w:p>
    <w:p w:rsidR="00DB0ADB" w:rsidRPr="00F5202B" w:rsidRDefault="00DB0ADB" w:rsidP="00DB0ADB">
      <w:pPr>
        <w:tabs>
          <w:tab w:val="left" w:pos="0"/>
          <w:tab w:val="left" w:pos="425"/>
        </w:tabs>
        <w:spacing w:after="0"/>
        <w:ind w:left="425" w:right="-11"/>
        <w:rPr>
          <w:rFonts w:ascii="Arial" w:hAnsi="Arial" w:cs="Arial"/>
          <w:i/>
          <w:sz w:val="24"/>
          <w:szCs w:val="24"/>
        </w:rPr>
      </w:pPr>
    </w:p>
    <w:p w:rsidR="00DB0ADB" w:rsidRPr="00F5202B" w:rsidRDefault="00DB0ADB" w:rsidP="00DB0ADB">
      <w:pPr>
        <w:pStyle w:val="ListParagraph"/>
        <w:numPr>
          <w:ilvl w:val="0"/>
          <w:numId w:val="3"/>
        </w:numPr>
        <w:spacing w:after="0" w:line="240" w:lineRule="auto"/>
        <w:ind w:left="1350" w:right="-11" w:hanging="450"/>
        <w:rPr>
          <w:rFonts w:ascii="Arial" w:hAnsi="Arial" w:cs="Arial"/>
          <w:i/>
        </w:rPr>
      </w:pPr>
      <w:r w:rsidRPr="00F5202B">
        <w:rPr>
          <w:rFonts w:ascii="Arial" w:hAnsi="Arial" w:cs="Arial"/>
          <w:i/>
        </w:rPr>
        <w:t>A bankruptcy order has not been made against them;</w:t>
      </w:r>
    </w:p>
    <w:p w:rsidR="00DB0ADB" w:rsidRDefault="00DB0ADB" w:rsidP="00EF07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0ADB" w:rsidRPr="00DB0ADB" w:rsidRDefault="00DB0ADB" w:rsidP="00DB0ADB">
      <w:pPr>
        <w:rPr>
          <w:rFonts w:ascii="Arial" w:eastAsia="Times New Roman" w:hAnsi="Arial" w:cs="Arial"/>
          <w:b/>
          <w:bCs/>
          <w:sz w:val="24"/>
          <w:szCs w:val="24"/>
          <w:lang w:val="en"/>
        </w:rPr>
      </w:pPr>
      <w:r w:rsidRPr="00772F54">
        <w:rPr>
          <w:rFonts w:ascii="Arial" w:eastAsia="Times New Roman" w:hAnsi="Arial" w:cs="Arial"/>
          <w:b/>
          <w:bCs/>
          <w:sz w:val="24"/>
          <w:szCs w:val="24"/>
          <w:lang w:val="en"/>
        </w:rPr>
        <w:t>W</w:t>
      </w:r>
      <w:r>
        <w:rPr>
          <w:rFonts w:ascii="Arial" w:eastAsia="Times New Roman" w:hAnsi="Arial" w:cs="Arial"/>
          <w:b/>
          <w:bCs/>
          <w:sz w:val="24"/>
          <w:szCs w:val="24"/>
          <w:lang w:val="en"/>
        </w:rPr>
        <w:t>hy is the Rule being amended?</w:t>
      </w:r>
    </w:p>
    <w:p w:rsidR="00DB0ADB" w:rsidRPr="00DB0ADB" w:rsidRDefault="00DB0ADB" w:rsidP="00DB0A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0ADB">
        <w:rPr>
          <w:rFonts w:ascii="Arial" w:hAnsi="Arial" w:cs="Arial"/>
          <w:sz w:val="24"/>
          <w:szCs w:val="24"/>
        </w:rPr>
        <w:t>During the 2019 Board Elections, it came to the Secretary’s attention that Rule 90 (h</w:t>
      </w:r>
      <w:proofErr w:type="gramStart"/>
      <w:r w:rsidRPr="00DB0ADB">
        <w:rPr>
          <w:rFonts w:ascii="Arial" w:hAnsi="Arial" w:cs="Arial"/>
          <w:sz w:val="24"/>
          <w:szCs w:val="24"/>
        </w:rPr>
        <w:t>),</w:t>
      </w:r>
      <w:proofErr w:type="gramEnd"/>
      <w:r w:rsidRPr="00DB0ADB">
        <w:rPr>
          <w:rFonts w:ascii="Arial" w:hAnsi="Arial" w:cs="Arial"/>
          <w:sz w:val="24"/>
          <w:szCs w:val="24"/>
        </w:rPr>
        <w:t xml:space="preserve"> as it is currently worded, does not distinguish between a Member who is a “discharged” or “undischarged” bankrupt.  </w:t>
      </w:r>
      <w:r w:rsidR="00A32F58">
        <w:rPr>
          <w:rFonts w:ascii="Arial" w:hAnsi="Arial" w:cs="Arial"/>
          <w:sz w:val="24"/>
          <w:szCs w:val="24"/>
        </w:rPr>
        <w:t xml:space="preserve">It is proposed </w:t>
      </w:r>
      <w:r w:rsidRPr="00DB0ADB">
        <w:rPr>
          <w:rFonts w:ascii="Arial" w:hAnsi="Arial" w:cs="Arial"/>
          <w:sz w:val="24"/>
          <w:szCs w:val="24"/>
        </w:rPr>
        <w:t>to amend Rule 90 (h) in order for the restriction to only apply to Members who are undischarged bankru</w:t>
      </w:r>
      <w:r w:rsidR="00F04826">
        <w:rPr>
          <w:rFonts w:ascii="Arial" w:hAnsi="Arial" w:cs="Arial"/>
          <w:sz w:val="24"/>
          <w:szCs w:val="24"/>
        </w:rPr>
        <w:t>pt</w:t>
      </w:r>
      <w:r w:rsidRPr="00DB0ADB">
        <w:rPr>
          <w:rFonts w:ascii="Arial" w:hAnsi="Arial" w:cs="Arial"/>
          <w:sz w:val="24"/>
          <w:szCs w:val="24"/>
        </w:rPr>
        <w:t xml:space="preserve"> which was the original intention of Co-operatives UK’s Model Rules upon which the Society’s Rule Book is based.</w:t>
      </w:r>
    </w:p>
    <w:p w:rsidR="00D67F49" w:rsidRDefault="00D67F49" w:rsidP="00EF07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2F58" w:rsidRDefault="00A32F58" w:rsidP="00EF07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7F49" w:rsidRDefault="00D67F49" w:rsidP="00EF07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2F58" w:rsidRPr="00772F54" w:rsidRDefault="00A32F58" w:rsidP="00EF07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0ADB" w:rsidRDefault="00DB0ADB" w:rsidP="00DB0AD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74E8">
        <w:rPr>
          <w:rFonts w:ascii="Arial" w:hAnsi="Arial" w:cs="Arial"/>
          <w:b/>
          <w:sz w:val="24"/>
          <w:szCs w:val="24"/>
        </w:rPr>
        <w:lastRenderedPageBreak/>
        <w:t xml:space="preserve">Proposal </w:t>
      </w:r>
    </w:p>
    <w:p w:rsidR="00DB0ADB" w:rsidRDefault="00DB0ADB" w:rsidP="00DB0A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B0ADB" w:rsidRDefault="00DB0ADB" w:rsidP="00DB0A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proposed that the Society amends Rule 90 (h) accordingly:</w:t>
      </w:r>
    </w:p>
    <w:p w:rsidR="00DB0ADB" w:rsidRPr="0015169E" w:rsidRDefault="00DB0ADB" w:rsidP="00DB0ADB">
      <w:pPr>
        <w:pStyle w:val="NoSpacing"/>
        <w:rPr>
          <w:rFonts w:ascii="Arial" w:hAnsi="Arial" w:cs="Arial"/>
          <w:sz w:val="24"/>
          <w:szCs w:val="24"/>
        </w:rPr>
      </w:pPr>
    </w:p>
    <w:p w:rsidR="00DB0ADB" w:rsidRPr="00DB0ADB" w:rsidRDefault="00DB0ADB" w:rsidP="00DB0ADB">
      <w:pPr>
        <w:pStyle w:val="NoSpacing"/>
        <w:ind w:left="360"/>
        <w:rPr>
          <w:rFonts w:ascii="Arial" w:hAnsi="Arial" w:cs="Arial"/>
          <w:i/>
          <w:sz w:val="24"/>
          <w:szCs w:val="24"/>
        </w:rPr>
      </w:pPr>
      <w:r w:rsidRPr="00DB0ADB">
        <w:rPr>
          <w:rFonts w:ascii="Arial" w:hAnsi="Arial" w:cs="Arial"/>
          <w:i/>
          <w:sz w:val="24"/>
          <w:szCs w:val="24"/>
        </w:rPr>
        <w:t>THAT rule 90 (h) be deleted and replaced with the following wording:</w:t>
      </w:r>
    </w:p>
    <w:p w:rsidR="00DB0ADB" w:rsidRPr="00DB0ADB" w:rsidRDefault="00DB0ADB" w:rsidP="00DB0ADB">
      <w:pPr>
        <w:pStyle w:val="NoSpacing"/>
        <w:ind w:left="360"/>
        <w:rPr>
          <w:rFonts w:ascii="Arial" w:hAnsi="Arial" w:cs="Arial"/>
          <w:i/>
          <w:sz w:val="24"/>
          <w:szCs w:val="24"/>
        </w:rPr>
      </w:pPr>
    </w:p>
    <w:p w:rsidR="00DB0ADB" w:rsidRDefault="00DB0ADB" w:rsidP="001B7D78">
      <w:pPr>
        <w:pStyle w:val="NoSpacing"/>
        <w:ind w:left="360"/>
        <w:rPr>
          <w:rFonts w:ascii="Arial" w:hAnsi="Arial" w:cs="Arial"/>
          <w:i/>
          <w:sz w:val="24"/>
          <w:szCs w:val="24"/>
        </w:rPr>
      </w:pPr>
      <w:r w:rsidRPr="00DB0ADB">
        <w:rPr>
          <w:rFonts w:ascii="Arial" w:hAnsi="Arial" w:cs="Arial"/>
          <w:i/>
          <w:sz w:val="24"/>
          <w:szCs w:val="24"/>
        </w:rPr>
        <w:t xml:space="preserve">“(h) They are not subject to a bankruptcy order which is not </w:t>
      </w:r>
      <w:r w:rsidR="001B7D78">
        <w:rPr>
          <w:rFonts w:ascii="Arial" w:hAnsi="Arial" w:cs="Arial"/>
          <w:i/>
          <w:sz w:val="24"/>
          <w:szCs w:val="24"/>
        </w:rPr>
        <w:t>discharged”</w:t>
      </w:r>
    </w:p>
    <w:p w:rsidR="001B7D78" w:rsidRDefault="001B7D78" w:rsidP="001B7D78">
      <w:pPr>
        <w:pStyle w:val="NoSpacing"/>
        <w:ind w:left="360"/>
        <w:rPr>
          <w:rFonts w:ascii="Arial" w:hAnsi="Arial" w:cs="Arial"/>
          <w:i/>
          <w:sz w:val="24"/>
          <w:szCs w:val="24"/>
        </w:rPr>
      </w:pPr>
    </w:p>
    <w:p w:rsidR="001B7D78" w:rsidRPr="001B7D78" w:rsidRDefault="001B7D78" w:rsidP="001B7D78">
      <w:pPr>
        <w:pStyle w:val="NoSpacing"/>
        <w:ind w:left="360"/>
        <w:rPr>
          <w:rFonts w:ascii="Arial" w:hAnsi="Arial" w:cs="Arial"/>
          <w:i/>
          <w:sz w:val="24"/>
          <w:szCs w:val="24"/>
        </w:rPr>
      </w:pPr>
    </w:p>
    <w:p w:rsidR="00DB0ADB" w:rsidRPr="001B7D78" w:rsidRDefault="001B7D78" w:rsidP="001B7D78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  <w:sz w:val="24"/>
          <w:szCs w:val="24"/>
          <w:u w:val="single"/>
        </w:rPr>
      </w:pPr>
      <w:r w:rsidRPr="001B7D78">
        <w:rPr>
          <w:rFonts w:ascii="Arial" w:hAnsi="Arial" w:cs="Arial"/>
          <w:b/>
          <w:sz w:val="24"/>
          <w:szCs w:val="24"/>
          <w:u w:val="single"/>
        </w:rPr>
        <w:t xml:space="preserve">Proposed Rule change – borrowing </w:t>
      </w:r>
      <w:r w:rsidR="00D74D6A">
        <w:rPr>
          <w:rFonts w:ascii="Arial" w:hAnsi="Arial" w:cs="Arial"/>
          <w:b/>
          <w:sz w:val="24"/>
          <w:szCs w:val="24"/>
          <w:u w:val="single"/>
        </w:rPr>
        <w:t>powers</w:t>
      </w:r>
    </w:p>
    <w:p w:rsidR="00DB0ADB" w:rsidRDefault="00365FB7" w:rsidP="00A32F5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Board is recommending  </w:t>
      </w:r>
      <w:r w:rsidR="00F04826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proposed amendment to Rule 9 (c) pertaining to the borrowing limits of Central England Co-operative Limited (CEC); in particular, regarding the use </w:t>
      </w:r>
      <w:r w:rsidR="00F04826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>revenue reserves of the ‘CEC group’ as a basis for calculating the Society’s borrowing limit, rather than that of the CEC parent entity in isolation.</w:t>
      </w:r>
    </w:p>
    <w:p w:rsidR="00365FB7" w:rsidRDefault="00365FB7" w:rsidP="00365FB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Society’s current </w:t>
      </w:r>
      <w:r w:rsidR="00AA081C">
        <w:rPr>
          <w:rFonts w:ascii="Arial" w:hAnsi="Arial" w:cs="Arial"/>
          <w:sz w:val="24"/>
          <w:szCs w:val="24"/>
        </w:rPr>
        <w:t xml:space="preserve">has in place </w:t>
      </w:r>
      <w:r>
        <w:rPr>
          <w:rFonts w:ascii="Arial" w:hAnsi="Arial" w:cs="Arial"/>
          <w:sz w:val="24"/>
          <w:szCs w:val="24"/>
        </w:rPr>
        <w:t>a revolving credit facility of £40m</w:t>
      </w:r>
      <w:r w:rsidR="00AA081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which is repayable on 22 January 2021; the Society is in the process of renewing the loan arrangements </w:t>
      </w:r>
      <w:r w:rsidR="0005524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head of this date. </w:t>
      </w:r>
    </w:p>
    <w:p w:rsidR="00365FB7" w:rsidRDefault="00365FB7" w:rsidP="00365F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5FB7" w:rsidRDefault="00365FB7" w:rsidP="00365FB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Rule 9 (c) of CEC’s existing rules places a limit on the total amount the Society can borrow as follows:</w:t>
      </w:r>
    </w:p>
    <w:p w:rsidR="00365FB7" w:rsidRDefault="00365FB7" w:rsidP="00365F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5FB7" w:rsidRPr="00060064" w:rsidRDefault="00365FB7" w:rsidP="00365FB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060064">
        <w:rPr>
          <w:rFonts w:ascii="Arial" w:hAnsi="Arial" w:cs="Arial"/>
          <w:i/>
          <w:sz w:val="24"/>
          <w:szCs w:val="24"/>
        </w:rPr>
        <w:t>‘….provided that the Society’s total borrowings shall not at any time exceed 75% of the Society’s revenue reserve as stated in the Society’s last published accounts….’</w:t>
      </w:r>
    </w:p>
    <w:p w:rsidR="00365FB7" w:rsidRDefault="00365FB7" w:rsidP="00365F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5FB7" w:rsidRDefault="00365FB7" w:rsidP="00365FB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Revenue reserve</w:t>
      </w:r>
      <w:r w:rsidR="00A32F5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in lay terms, represent </w:t>
      </w:r>
      <w:r w:rsidR="00A32F58">
        <w:rPr>
          <w:rFonts w:ascii="Arial" w:hAnsi="Arial" w:cs="Arial"/>
          <w:sz w:val="24"/>
          <w:szCs w:val="24"/>
        </w:rPr>
        <w:t xml:space="preserve">the accumulated </w:t>
      </w:r>
      <w:r>
        <w:rPr>
          <w:rFonts w:ascii="Arial" w:hAnsi="Arial" w:cs="Arial"/>
          <w:sz w:val="24"/>
          <w:szCs w:val="24"/>
        </w:rPr>
        <w:t>profits the Society has earned in previous years including the actuarial gain or loss from the annual valuation of the Society’s defined benefit pension scheme.</w:t>
      </w:r>
    </w:p>
    <w:p w:rsidR="00365FB7" w:rsidRDefault="00365FB7" w:rsidP="00365F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5FB7" w:rsidRDefault="00365FB7" w:rsidP="00365FB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Rule 9(c) ensures that the Society borrowings are commensurate with the available resources of the business and provides an important safeguard to Members.</w:t>
      </w:r>
    </w:p>
    <w:p w:rsidR="00A32F58" w:rsidRDefault="00A32F58" w:rsidP="0005524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55244" w:rsidRPr="0098658D" w:rsidRDefault="00055244" w:rsidP="0005524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8658D">
        <w:rPr>
          <w:rFonts w:ascii="Arial" w:hAnsi="Arial" w:cs="Arial"/>
          <w:b/>
          <w:sz w:val="24"/>
          <w:szCs w:val="24"/>
        </w:rPr>
        <w:t>Reason for Rule Amendment</w:t>
      </w:r>
    </w:p>
    <w:p w:rsidR="00055244" w:rsidRDefault="00055244" w:rsidP="000552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244" w:rsidRDefault="00055244" w:rsidP="000552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Society </w:t>
      </w:r>
      <w:r w:rsidR="00A32F58">
        <w:rPr>
          <w:rFonts w:ascii="Arial" w:hAnsi="Arial" w:cs="Arial"/>
          <w:sz w:val="24"/>
          <w:szCs w:val="24"/>
        </w:rPr>
        <w:t xml:space="preserve">operates as a collective business and </w:t>
      </w:r>
      <w:r>
        <w:rPr>
          <w:rFonts w:ascii="Arial" w:hAnsi="Arial" w:cs="Arial"/>
          <w:sz w:val="24"/>
          <w:szCs w:val="24"/>
        </w:rPr>
        <w:t xml:space="preserve">accounts </w:t>
      </w:r>
      <w:r w:rsidR="00A32F58">
        <w:rPr>
          <w:rFonts w:ascii="Arial" w:hAnsi="Arial" w:cs="Arial"/>
          <w:sz w:val="24"/>
          <w:szCs w:val="24"/>
        </w:rPr>
        <w:t xml:space="preserve">for the Society’s affairs </w:t>
      </w:r>
      <w:r>
        <w:rPr>
          <w:rFonts w:ascii="Arial" w:hAnsi="Arial" w:cs="Arial"/>
          <w:sz w:val="24"/>
          <w:szCs w:val="24"/>
        </w:rPr>
        <w:t xml:space="preserve">on a group/consolidated basis i.e. </w:t>
      </w:r>
      <w:r w:rsidR="00A32F58">
        <w:rPr>
          <w:rFonts w:ascii="Arial" w:hAnsi="Arial" w:cs="Arial"/>
          <w:sz w:val="24"/>
          <w:szCs w:val="24"/>
        </w:rPr>
        <w:t xml:space="preserve">comprising </w:t>
      </w:r>
      <w:r>
        <w:rPr>
          <w:rFonts w:ascii="Arial" w:hAnsi="Arial" w:cs="Arial"/>
          <w:sz w:val="24"/>
          <w:szCs w:val="24"/>
        </w:rPr>
        <w:t>CEC and its subsidiaries (the CEC Group).  The Society produces group financial statements annually which are subsequently deconsolidated to produce the entity accounts for statutory reporting purposes.</w:t>
      </w:r>
    </w:p>
    <w:p w:rsidR="00055244" w:rsidRDefault="00055244" w:rsidP="000552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244" w:rsidRDefault="00055244" w:rsidP="000552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Rule 9 (c) relates to the revenue reserve of the CEC entity and not the CEC Group.  CEC’s revenue reserve is lower than the reserves of the entire CEC Group, a point which is compounded by the material impact that the annual valuation of the Society’s defined benefit pension scheme liability can have on the revenue reserve of the CEC entity.  </w:t>
      </w:r>
    </w:p>
    <w:p w:rsidR="00055244" w:rsidRDefault="00055244" w:rsidP="000552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2730" w:rsidRDefault="00252730" w:rsidP="002527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proposal would not undermine the rationale for having such a safeguard in place, but would appropriately reflect the Society’s operating model and corporate structure, and ensure a pragmatic lev</w:t>
      </w:r>
      <w:r w:rsidR="00A32F58">
        <w:rPr>
          <w:rFonts w:ascii="Arial" w:hAnsi="Arial" w:cs="Arial"/>
          <w:sz w:val="24"/>
          <w:szCs w:val="24"/>
        </w:rPr>
        <w:t>el of borrowing can be obtained in order to meet the needs of the business.</w:t>
      </w:r>
    </w:p>
    <w:p w:rsidR="00252730" w:rsidRDefault="00252730" w:rsidP="000552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2F58" w:rsidRDefault="00A32F58" w:rsidP="0005524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32F58" w:rsidRDefault="00A32F58" w:rsidP="0005524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32F58" w:rsidRDefault="00A32F58" w:rsidP="0005524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2730" w:rsidRPr="00252730" w:rsidRDefault="00252730" w:rsidP="0005524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52730">
        <w:rPr>
          <w:rFonts w:ascii="Arial" w:hAnsi="Arial" w:cs="Arial"/>
          <w:b/>
          <w:sz w:val="24"/>
          <w:szCs w:val="24"/>
        </w:rPr>
        <w:lastRenderedPageBreak/>
        <w:t>The concept of ‘Group’</w:t>
      </w:r>
    </w:p>
    <w:p w:rsidR="00252730" w:rsidRDefault="00252730" w:rsidP="000552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244" w:rsidRDefault="00252730" w:rsidP="000552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Group</w:t>
      </w:r>
      <w:r w:rsidR="00055244">
        <w:rPr>
          <w:rFonts w:ascii="Arial" w:hAnsi="Arial" w:cs="Arial"/>
          <w:sz w:val="24"/>
          <w:szCs w:val="24"/>
        </w:rPr>
        <w:t xml:space="preserve"> reporting i</w:t>
      </w:r>
      <w:r>
        <w:rPr>
          <w:rFonts w:ascii="Arial" w:hAnsi="Arial" w:cs="Arial"/>
          <w:sz w:val="24"/>
          <w:szCs w:val="24"/>
        </w:rPr>
        <w:t xml:space="preserve">s </w:t>
      </w:r>
      <w:r w:rsidR="00A32F58">
        <w:rPr>
          <w:rFonts w:ascii="Arial" w:hAnsi="Arial" w:cs="Arial"/>
          <w:sz w:val="24"/>
          <w:szCs w:val="24"/>
        </w:rPr>
        <w:t xml:space="preserve">commonplace </w:t>
      </w:r>
      <w:r>
        <w:rPr>
          <w:rFonts w:ascii="Arial" w:hAnsi="Arial" w:cs="Arial"/>
          <w:sz w:val="24"/>
          <w:szCs w:val="24"/>
        </w:rPr>
        <w:t xml:space="preserve">within </w:t>
      </w:r>
      <w:r w:rsidR="0020634B">
        <w:rPr>
          <w:rFonts w:ascii="Arial" w:hAnsi="Arial" w:cs="Arial"/>
          <w:sz w:val="24"/>
          <w:szCs w:val="24"/>
        </w:rPr>
        <w:t>the co</w:t>
      </w:r>
      <w:r w:rsidR="00055244">
        <w:rPr>
          <w:rFonts w:ascii="Arial" w:hAnsi="Arial" w:cs="Arial"/>
          <w:sz w:val="24"/>
          <w:szCs w:val="24"/>
        </w:rPr>
        <w:t>-operative sector and is widely used by housing co-operatives and other organisations.</w:t>
      </w:r>
    </w:p>
    <w:p w:rsidR="00055244" w:rsidRDefault="00055244" w:rsidP="000552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244" w:rsidRPr="00F04826" w:rsidRDefault="00252730">
      <w:pPr>
        <w:rPr>
          <w:rFonts w:ascii="Arial" w:hAnsi="Arial" w:cs="Arial"/>
          <w:b/>
          <w:i/>
          <w:sz w:val="24"/>
          <w:szCs w:val="24"/>
        </w:rPr>
      </w:pPr>
      <w:r w:rsidRPr="00F04826">
        <w:rPr>
          <w:rFonts w:ascii="Arial" w:hAnsi="Arial" w:cs="Arial"/>
          <w:b/>
          <w:i/>
          <w:sz w:val="24"/>
          <w:szCs w:val="24"/>
          <w:u w:val="single"/>
        </w:rPr>
        <w:t xml:space="preserve">It should be noted that all references to </w:t>
      </w:r>
      <w:r w:rsidR="00A32F58">
        <w:rPr>
          <w:rFonts w:ascii="Arial" w:hAnsi="Arial" w:cs="Arial"/>
          <w:b/>
          <w:i/>
          <w:sz w:val="24"/>
          <w:szCs w:val="24"/>
          <w:u w:val="single"/>
        </w:rPr>
        <w:t>‘</w:t>
      </w:r>
      <w:r w:rsidRPr="00F04826">
        <w:rPr>
          <w:rFonts w:ascii="Arial" w:hAnsi="Arial" w:cs="Arial"/>
          <w:b/>
          <w:i/>
          <w:sz w:val="24"/>
          <w:szCs w:val="24"/>
          <w:u w:val="single"/>
        </w:rPr>
        <w:t>Group</w:t>
      </w:r>
      <w:r w:rsidR="00A32F58">
        <w:rPr>
          <w:rFonts w:ascii="Arial" w:hAnsi="Arial" w:cs="Arial"/>
          <w:b/>
          <w:i/>
          <w:sz w:val="24"/>
          <w:szCs w:val="24"/>
          <w:u w:val="single"/>
        </w:rPr>
        <w:t>’</w:t>
      </w:r>
      <w:r w:rsidRPr="00F04826">
        <w:rPr>
          <w:rFonts w:ascii="Arial" w:hAnsi="Arial" w:cs="Arial"/>
          <w:b/>
          <w:i/>
          <w:sz w:val="24"/>
          <w:szCs w:val="24"/>
          <w:u w:val="single"/>
        </w:rPr>
        <w:t xml:space="preserve"> in </w:t>
      </w:r>
      <w:r w:rsidR="00A32F58">
        <w:rPr>
          <w:rFonts w:ascii="Arial" w:hAnsi="Arial" w:cs="Arial"/>
          <w:b/>
          <w:i/>
          <w:sz w:val="24"/>
          <w:szCs w:val="24"/>
          <w:u w:val="single"/>
        </w:rPr>
        <w:t xml:space="preserve">respect of this matter does not in any </w:t>
      </w:r>
      <w:r w:rsidR="00F04826" w:rsidRPr="00F04826">
        <w:rPr>
          <w:rFonts w:ascii="Arial" w:hAnsi="Arial" w:cs="Arial"/>
          <w:b/>
          <w:i/>
          <w:sz w:val="24"/>
          <w:szCs w:val="24"/>
          <w:u w:val="single"/>
        </w:rPr>
        <w:t>way</w:t>
      </w:r>
      <w:r w:rsidRPr="00F04826">
        <w:rPr>
          <w:rFonts w:ascii="Arial" w:hAnsi="Arial" w:cs="Arial"/>
          <w:b/>
          <w:i/>
          <w:sz w:val="24"/>
          <w:szCs w:val="24"/>
          <w:u w:val="single"/>
        </w:rPr>
        <w:t xml:space="preserve"> relate to the Co-operative Group</w:t>
      </w:r>
      <w:r w:rsidRPr="00F04826">
        <w:rPr>
          <w:rFonts w:ascii="Arial" w:hAnsi="Arial" w:cs="Arial"/>
          <w:b/>
          <w:i/>
          <w:sz w:val="24"/>
          <w:szCs w:val="24"/>
        </w:rPr>
        <w:t>.</w:t>
      </w:r>
    </w:p>
    <w:p w:rsidR="00365FB7" w:rsidRDefault="0020634B" w:rsidP="0020634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74E8">
        <w:rPr>
          <w:rFonts w:ascii="Arial" w:hAnsi="Arial" w:cs="Arial"/>
          <w:b/>
          <w:sz w:val="24"/>
          <w:szCs w:val="24"/>
        </w:rPr>
        <w:t xml:space="preserve">Proposal </w:t>
      </w:r>
    </w:p>
    <w:p w:rsidR="0020634B" w:rsidRDefault="0020634B" w:rsidP="002063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0634B" w:rsidRPr="00137688" w:rsidRDefault="0020634B" w:rsidP="0020634B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37688">
        <w:rPr>
          <w:rFonts w:ascii="Arial" w:eastAsia="Times New Roman" w:hAnsi="Arial" w:cs="Arial"/>
          <w:sz w:val="24"/>
          <w:szCs w:val="24"/>
        </w:rPr>
        <w:t xml:space="preserve">To add to “Definitions” section </w:t>
      </w:r>
      <w:r>
        <w:rPr>
          <w:rFonts w:ascii="Arial" w:eastAsia="Times New Roman" w:hAnsi="Arial" w:cs="Arial"/>
          <w:sz w:val="24"/>
          <w:szCs w:val="24"/>
        </w:rPr>
        <w:t xml:space="preserve">within the opening section of </w:t>
      </w:r>
      <w:r w:rsidRPr="00137688">
        <w:rPr>
          <w:rFonts w:ascii="Arial" w:eastAsia="Times New Roman" w:hAnsi="Arial" w:cs="Arial"/>
          <w:sz w:val="24"/>
          <w:szCs w:val="24"/>
        </w:rPr>
        <w:t>the Rules</w:t>
      </w:r>
    </w:p>
    <w:p w:rsidR="0020634B" w:rsidRPr="00137688" w:rsidRDefault="0020634B" w:rsidP="0020634B">
      <w:pPr>
        <w:tabs>
          <w:tab w:val="left" w:pos="504"/>
        </w:tabs>
        <w:spacing w:after="0" w:line="240" w:lineRule="auto"/>
        <w:ind w:left="504"/>
        <w:rPr>
          <w:rFonts w:ascii="Arial" w:eastAsia="Times New Roman" w:hAnsi="Arial" w:cs="Arial"/>
          <w:sz w:val="24"/>
          <w:szCs w:val="24"/>
        </w:rPr>
      </w:pPr>
    </w:p>
    <w:p w:rsidR="0020634B" w:rsidRPr="0020634B" w:rsidRDefault="0020634B" w:rsidP="0020634B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0634B">
        <w:rPr>
          <w:rFonts w:ascii="Arial" w:eastAsia="Times New Roman" w:hAnsi="Arial" w:cs="Arial"/>
          <w:sz w:val="24"/>
          <w:szCs w:val="24"/>
        </w:rPr>
        <w:t>“Group” means the Society and its subsidiary undertakings, where “subsidiary undertaking” means a subsidiary undertaking which falls to be treated as such in the audited accounts of the Group.</w:t>
      </w:r>
    </w:p>
    <w:p w:rsidR="0020634B" w:rsidRPr="00137688" w:rsidRDefault="0020634B" w:rsidP="0020634B">
      <w:pPr>
        <w:tabs>
          <w:tab w:val="left" w:pos="284"/>
        </w:tabs>
        <w:spacing w:after="0" w:line="240" w:lineRule="auto"/>
        <w:ind w:right="-10"/>
        <w:rPr>
          <w:rFonts w:ascii="Arial" w:eastAsia="Times New Roman" w:hAnsi="Arial" w:cs="Arial"/>
          <w:sz w:val="24"/>
          <w:szCs w:val="24"/>
        </w:rPr>
      </w:pPr>
    </w:p>
    <w:p w:rsidR="0020634B" w:rsidRPr="00137688" w:rsidRDefault="0020634B" w:rsidP="0020634B">
      <w:pPr>
        <w:tabs>
          <w:tab w:val="left" w:pos="284"/>
        </w:tabs>
        <w:spacing w:after="0" w:line="240" w:lineRule="auto"/>
        <w:ind w:right="-10"/>
        <w:rPr>
          <w:rFonts w:ascii="Arial" w:eastAsia="Times New Roman" w:hAnsi="Arial" w:cs="Arial"/>
          <w:sz w:val="24"/>
          <w:szCs w:val="24"/>
        </w:rPr>
      </w:pPr>
      <w:r w:rsidRPr="00137688">
        <w:rPr>
          <w:rFonts w:ascii="Arial" w:eastAsia="Times New Roman" w:hAnsi="Arial" w:cs="Arial"/>
          <w:sz w:val="24"/>
          <w:szCs w:val="24"/>
        </w:rPr>
        <w:t xml:space="preserve">9. The Society may do all such lawful things as </w:t>
      </w:r>
      <w:proofErr w:type="gramStart"/>
      <w:r w:rsidRPr="00137688">
        <w:rPr>
          <w:rFonts w:ascii="Arial" w:eastAsia="Times New Roman" w:hAnsi="Arial" w:cs="Arial"/>
          <w:sz w:val="24"/>
          <w:szCs w:val="24"/>
        </w:rPr>
        <w:t>may</w:t>
      </w:r>
      <w:proofErr w:type="gramEnd"/>
      <w:r w:rsidRPr="00137688">
        <w:rPr>
          <w:rFonts w:ascii="Arial" w:eastAsia="Times New Roman" w:hAnsi="Arial" w:cs="Arial"/>
          <w:sz w:val="24"/>
          <w:szCs w:val="24"/>
        </w:rPr>
        <w:t xml:space="preserve"> further the Society’s objects and, in particular, may:</w:t>
      </w:r>
    </w:p>
    <w:p w:rsidR="0020634B" w:rsidRPr="00137688" w:rsidRDefault="0020634B" w:rsidP="0020634B">
      <w:pPr>
        <w:tabs>
          <w:tab w:val="left" w:pos="0"/>
          <w:tab w:val="left" w:pos="725"/>
        </w:tabs>
        <w:spacing w:after="0" w:line="240" w:lineRule="auto"/>
        <w:ind w:right="-10"/>
        <w:rPr>
          <w:rFonts w:ascii="Arial" w:eastAsia="Times New Roman" w:hAnsi="Arial" w:cs="Arial"/>
          <w:sz w:val="24"/>
          <w:szCs w:val="24"/>
        </w:rPr>
      </w:pPr>
    </w:p>
    <w:p w:rsidR="0020634B" w:rsidRPr="00137688" w:rsidRDefault="0020634B" w:rsidP="0020634B">
      <w:pPr>
        <w:numPr>
          <w:ilvl w:val="0"/>
          <w:numId w:val="4"/>
        </w:numPr>
        <w:tabs>
          <w:tab w:val="left" w:pos="515"/>
        </w:tabs>
        <w:spacing w:after="0" w:line="240" w:lineRule="auto"/>
        <w:ind w:left="515" w:right="-10" w:hanging="515"/>
        <w:contextualSpacing/>
        <w:rPr>
          <w:rFonts w:ascii="Arial" w:eastAsia="Times New Roman" w:hAnsi="Arial" w:cs="Arial"/>
          <w:sz w:val="24"/>
          <w:szCs w:val="24"/>
        </w:rPr>
      </w:pPr>
      <w:r w:rsidRPr="00137688">
        <w:rPr>
          <w:rFonts w:ascii="Arial" w:eastAsia="Times New Roman" w:hAnsi="Arial" w:cs="Arial"/>
          <w:sz w:val="24"/>
          <w:szCs w:val="24"/>
        </w:rPr>
        <w:t>purchase, hold, sell, mortgage, rent or sub-lease lands of any tenure and to erect, pull down, repair, alter or otherwise deal with any building on those lands;</w:t>
      </w:r>
    </w:p>
    <w:p w:rsidR="0020634B" w:rsidRPr="00137688" w:rsidRDefault="0020634B" w:rsidP="0020634B">
      <w:pPr>
        <w:tabs>
          <w:tab w:val="left" w:pos="515"/>
        </w:tabs>
        <w:spacing w:after="0" w:line="240" w:lineRule="auto"/>
        <w:ind w:left="515" w:right="-10" w:hanging="515"/>
        <w:rPr>
          <w:rFonts w:ascii="Arial" w:eastAsia="Times New Roman" w:hAnsi="Arial" w:cs="Arial"/>
          <w:sz w:val="24"/>
          <w:szCs w:val="24"/>
        </w:rPr>
      </w:pPr>
    </w:p>
    <w:p w:rsidR="0020634B" w:rsidRPr="00137688" w:rsidRDefault="0020634B" w:rsidP="0020634B">
      <w:pPr>
        <w:numPr>
          <w:ilvl w:val="0"/>
          <w:numId w:val="4"/>
        </w:numPr>
        <w:tabs>
          <w:tab w:val="left" w:pos="515"/>
        </w:tabs>
        <w:spacing w:after="0" w:line="240" w:lineRule="auto"/>
        <w:ind w:left="515" w:right="-10" w:hanging="515"/>
        <w:contextualSpacing/>
        <w:rPr>
          <w:rFonts w:ascii="Arial" w:eastAsia="Times New Roman" w:hAnsi="Arial" w:cs="Arial"/>
          <w:sz w:val="24"/>
          <w:szCs w:val="24"/>
        </w:rPr>
      </w:pPr>
      <w:r w:rsidRPr="00137688">
        <w:rPr>
          <w:rFonts w:ascii="Arial" w:eastAsia="Times New Roman" w:hAnsi="Arial" w:cs="Arial"/>
          <w:sz w:val="24"/>
          <w:szCs w:val="24"/>
        </w:rPr>
        <w:t>enter into block-discounting transactions;</w:t>
      </w:r>
    </w:p>
    <w:p w:rsidR="0020634B" w:rsidRPr="00137688" w:rsidRDefault="0020634B" w:rsidP="0020634B">
      <w:pPr>
        <w:tabs>
          <w:tab w:val="left" w:pos="515"/>
        </w:tabs>
        <w:spacing w:after="0" w:line="240" w:lineRule="auto"/>
        <w:ind w:left="515" w:right="-10" w:hanging="515"/>
        <w:contextualSpacing/>
        <w:rPr>
          <w:rFonts w:ascii="Arial" w:eastAsia="Times New Roman" w:hAnsi="Arial" w:cs="Arial"/>
          <w:sz w:val="24"/>
          <w:szCs w:val="24"/>
        </w:rPr>
      </w:pPr>
    </w:p>
    <w:p w:rsidR="0020634B" w:rsidRPr="00137688" w:rsidRDefault="0020634B" w:rsidP="0020634B">
      <w:pPr>
        <w:numPr>
          <w:ilvl w:val="0"/>
          <w:numId w:val="4"/>
        </w:numPr>
        <w:tabs>
          <w:tab w:val="left" w:pos="515"/>
        </w:tabs>
        <w:spacing w:after="0" w:line="240" w:lineRule="auto"/>
        <w:ind w:left="516" w:right="-11" w:hanging="516"/>
        <w:contextualSpacing/>
        <w:rPr>
          <w:rFonts w:ascii="Arial" w:eastAsia="Times New Roman" w:hAnsi="Arial" w:cs="Arial"/>
          <w:sz w:val="24"/>
          <w:szCs w:val="24"/>
        </w:rPr>
      </w:pPr>
      <w:r w:rsidRPr="00137688">
        <w:rPr>
          <w:rFonts w:ascii="Arial" w:eastAsia="Times New Roman" w:hAnsi="Arial" w:cs="Arial"/>
          <w:sz w:val="24"/>
          <w:szCs w:val="24"/>
        </w:rPr>
        <w:t xml:space="preserve">borrow money, mortgage or charge any of its property and issue debentures and other securities upon such terms and conditions as the Board thinks fit; provided that the </w:t>
      </w:r>
      <w:r w:rsidRPr="00A27C86">
        <w:rPr>
          <w:rFonts w:ascii="Arial" w:eastAsia="Times New Roman" w:hAnsi="Arial" w:cs="Arial"/>
          <w:sz w:val="24"/>
          <w:szCs w:val="24"/>
        </w:rPr>
        <w:t>Society’s</w:t>
      </w:r>
      <w:r w:rsidRPr="00137688">
        <w:rPr>
          <w:rFonts w:ascii="Arial" w:eastAsia="Times New Roman" w:hAnsi="Arial" w:cs="Arial"/>
          <w:sz w:val="24"/>
          <w:szCs w:val="24"/>
        </w:rPr>
        <w:t xml:space="preserve"> total borrowings shall not at any time exceed 75% of the </w:t>
      </w:r>
      <w:r w:rsidRPr="00A32F58">
        <w:rPr>
          <w:rFonts w:ascii="Arial" w:eastAsia="Times New Roman" w:hAnsi="Arial" w:cs="Arial"/>
          <w:b/>
          <w:sz w:val="24"/>
          <w:szCs w:val="24"/>
        </w:rPr>
        <w:t>Group’s</w:t>
      </w:r>
      <w:r w:rsidRPr="0020634B">
        <w:rPr>
          <w:rFonts w:ascii="Arial" w:eastAsia="Times New Roman" w:hAnsi="Arial" w:cs="Arial"/>
          <w:sz w:val="24"/>
          <w:szCs w:val="24"/>
        </w:rPr>
        <w:t xml:space="preserve"> aggregated </w:t>
      </w:r>
      <w:r w:rsidRPr="0020634B">
        <w:rPr>
          <w:rFonts w:ascii="Arial" w:eastAsia="Times New Roman" w:hAnsi="Arial" w:cs="Arial"/>
          <w:strike/>
          <w:sz w:val="24"/>
          <w:szCs w:val="24"/>
        </w:rPr>
        <w:t>Society’s</w:t>
      </w:r>
      <w:r w:rsidRPr="0020634B">
        <w:rPr>
          <w:rFonts w:ascii="Arial" w:eastAsia="Times New Roman" w:hAnsi="Arial" w:cs="Arial"/>
          <w:sz w:val="24"/>
          <w:szCs w:val="24"/>
        </w:rPr>
        <w:t xml:space="preserve"> revenue reserves as stated in the </w:t>
      </w:r>
      <w:r w:rsidRPr="00A32F58">
        <w:rPr>
          <w:rFonts w:ascii="Arial" w:eastAsia="Times New Roman" w:hAnsi="Arial" w:cs="Arial"/>
          <w:b/>
          <w:sz w:val="24"/>
          <w:szCs w:val="24"/>
        </w:rPr>
        <w:t>Group’s</w:t>
      </w:r>
      <w:r w:rsidRPr="0020634B">
        <w:rPr>
          <w:rFonts w:ascii="Arial" w:eastAsia="Times New Roman" w:hAnsi="Arial" w:cs="Arial"/>
          <w:sz w:val="24"/>
          <w:szCs w:val="24"/>
        </w:rPr>
        <w:t xml:space="preserve"> </w:t>
      </w:r>
      <w:r w:rsidRPr="0020634B">
        <w:rPr>
          <w:rFonts w:ascii="Arial" w:eastAsia="Times New Roman" w:hAnsi="Arial" w:cs="Arial"/>
          <w:strike/>
          <w:sz w:val="24"/>
          <w:szCs w:val="24"/>
        </w:rPr>
        <w:t>Society’s</w:t>
      </w:r>
      <w:r w:rsidRPr="0020634B">
        <w:rPr>
          <w:rFonts w:ascii="Arial" w:eastAsia="Times New Roman" w:hAnsi="Arial" w:cs="Arial"/>
          <w:sz w:val="24"/>
          <w:szCs w:val="24"/>
        </w:rPr>
        <w:t xml:space="preserve"> last published accounts, also:</w:t>
      </w:r>
    </w:p>
    <w:p w:rsidR="0020634B" w:rsidRDefault="0020634B">
      <w:pPr>
        <w:rPr>
          <w:rFonts w:ascii="Arial" w:hAnsi="Arial" w:cs="Arial"/>
          <w:b/>
          <w:sz w:val="24"/>
          <w:szCs w:val="24"/>
        </w:rPr>
      </w:pPr>
    </w:p>
    <w:p w:rsidR="00BD3CC4" w:rsidRPr="00772F54" w:rsidRDefault="00BD3CC4">
      <w:pPr>
        <w:rPr>
          <w:rFonts w:ascii="Arial" w:hAnsi="Arial" w:cs="Arial"/>
          <w:b/>
          <w:sz w:val="24"/>
          <w:szCs w:val="24"/>
        </w:rPr>
      </w:pPr>
      <w:r w:rsidRPr="00772F54">
        <w:rPr>
          <w:rFonts w:ascii="Arial" w:hAnsi="Arial" w:cs="Arial"/>
          <w:b/>
          <w:sz w:val="24"/>
          <w:szCs w:val="24"/>
        </w:rPr>
        <w:t>What is the process for changing the Rules?</w:t>
      </w:r>
    </w:p>
    <w:p w:rsidR="00B046B3" w:rsidRPr="00772F54" w:rsidRDefault="0091328E" w:rsidP="00EF071D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772F54">
        <w:rPr>
          <w:rFonts w:ascii="Arial" w:hAnsi="Arial" w:cs="Arial"/>
          <w:sz w:val="24"/>
          <w:szCs w:val="24"/>
        </w:rPr>
        <w:t>The proposed Rule amendment</w:t>
      </w:r>
      <w:r w:rsidR="0020634B">
        <w:rPr>
          <w:rFonts w:ascii="Arial" w:hAnsi="Arial" w:cs="Arial"/>
          <w:sz w:val="24"/>
          <w:szCs w:val="24"/>
        </w:rPr>
        <w:t>s require</w:t>
      </w:r>
      <w:r w:rsidRPr="00772F54">
        <w:rPr>
          <w:rFonts w:ascii="Arial" w:hAnsi="Arial" w:cs="Arial"/>
          <w:sz w:val="24"/>
          <w:szCs w:val="24"/>
        </w:rPr>
        <w:t xml:space="preserve"> a majority of </w:t>
      </w:r>
      <w:r w:rsidR="007433C0">
        <w:rPr>
          <w:rFonts w:ascii="Arial" w:hAnsi="Arial" w:cs="Arial"/>
          <w:sz w:val="24"/>
          <w:szCs w:val="24"/>
        </w:rPr>
        <w:t>two thirds</w:t>
      </w:r>
      <w:r w:rsidRPr="00772F54">
        <w:rPr>
          <w:rFonts w:ascii="Arial" w:hAnsi="Arial" w:cs="Arial"/>
          <w:sz w:val="24"/>
          <w:szCs w:val="24"/>
        </w:rPr>
        <w:t xml:space="preserve"> of members present at the Special Members’ Meeting voting in favour of the change for </w:t>
      </w:r>
      <w:r w:rsidR="00CA66D8">
        <w:rPr>
          <w:rFonts w:ascii="Arial" w:hAnsi="Arial" w:cs="Arial"/>
          <w:sz w:val="24"/>
          <w:szCs w:val="24"/>
        </w:rPr>
        <w:t xml:space="preserve">the Rule amendments </w:t>
      </w:r>
      <w:r w:rsidRPr="00772F54">
        <w:rPr>
          <w:rFonts w:ascii="Arial" w:hAnsi="Arial" w:cs="Arial"/>
          <w:sz w:val="24"/>
          <w:szCs w:val="24"/>
        </w:rPr>
        <w:t>to be approved.</w:t>
      </w:r>
    </w:p>
    <w:p w:rsidR="00BD3CC4" w:rsidRDefault="0091328E" w:rsidP="00CA66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2F54">
        <w:rPr>
          <w:rFonts w:ascii="Arial" w:hAnsi="Arial" w:cs="Arial"/>
          <w:sz w:val="24"/>
          <w:szCs w:val="24"/>
        </w:rPr>
        <w:t xml:space="preserve">The </w:t>
      </w:r>
      <w:r w:rsidR="00CA66D8">
        <w:rPr>
          <w:rFonts w:ascii="Arial" w:hAnsi="Arial" w:cs="Arial"/>
          <w:sz w:val="24"/>
          <w:szCs w:val="24"/>
        </w:rPr>
        <w:t xml:space="preserve">amended </w:t>
      </w:r>
      <w:r w:rsidRPr="00772F54">
        <w:rPr>
          <w:rFonts w:ascii="Arial" w:hAnsi="Arial" w:cs="Arial"/>
          <w:sz w:val="24"/>
          <w:szCs w:val="24"/>
        </w:rPr>
        <w:t>Rule</w:t>
      </w:r>
      <w:r w:rsidR="0020634B">
        <w:rPr>
          <w:rFonts w:ascii="Arial" w:hAnsi="Arial" w:cs="Arial"/>
          <w:sz w:val="24"/>
          <w:szCs w:val="24"/>
        </w:rPr>
        <w:t>s</w:t>
      </w:r>
      <w:r w:rsidR="00CA66D8">
        <w:rPr>
          <w:rFonts w:ascii="Arial" w:hAnsi="Arial" w:cs="Arial"/>
          <w:sz w:val="24"/>
          <w:szCs w:val="24"/>
        </w:rPr>
        <w:t xml:space="preserve">, subject to Member approval, </w:t>
      </w:r>
      <w:r w:rsidR="0020634B">
        <w:rPr>
          <w:rFonts w:ascii="Arial" w:hAnsi="Arial" w:cs="Arial"/>
          <w:sz w:val="24"/>
          <w:szCs w:val="24"/>
        </w:rPr>
        <w:t>are</w:t>
      </w:r>
      <w:r w:rsidRPr="00772F54">
        <w:rPr>
          <w:rFonts w:ascii="Arial" w:hAnsi="Arial" w:cs="Arial"/>
          <w:sz w:val="24"/>
          <w:szCs w:val="24"/>
        </w:rPr>
        <w:t xml:space="preserve"> not effective until </w:t>
      </w:r>
      <w:r w:rsidR="0020634B">
        <w:rPr>
          <w:rFonts w:ascii="Arial" w:hAnsi="Arial" w:cs="Arial"/>
          <w:sz w:val="24"/>
          <w:szCs w:val="24"/>
        </w:rPr>
        <w:t>they have been</w:t>
      </w:r>
      <w:r w:rsidRPr="00772F54">
        <w:rPr>
          <w:rFonts w:ascii="Arial" w:hAnsi="Arial" w:cs="Arial"/>
          <w:sz w:val="24"/>
          <w:szCs w:val="24"/>
        </w:rPr>
        <w:t xml:space="preserve"> registered and approved by the Financial Conduct Authority.</w:t>
      </w:r>
    </w:p>
    <w:p w:rsidR="00CA66D8" w:rsidRDefault="00CA66D8" w:rsidP="00CA66D8">
      <w:pPr>
        <w:spacing w:after="0" w:line="240" w:lineRule="auto"/>
        <w:rPr>
          <w:rFonts w:ascii="Arial" w:hAnsi="Arial" w:cs="Arial"/>
          <w:sz w:val="24"/>
        </w:rPr>
      </w:pPr>
    </w:p>
    <w:p w:rsidR="000D0234" w:rsidRPr="00A32F58" w:rsidRDefault="00DB0ADB" w:rsidP="00CA66D8">
      <w:pPr>
        <w:spacing w:after="0" w:line="240" w:lineRule="auto"/>
        <w:rPr>
          <w:rFonts w:ascii="Arial" w:hAnsi="Arial" w:cs="Arial"/>
          <w:sz w:val="24"/>
        </w:rPr>
      </w:pPr>
      <w:r w:rsidRPr="00A32F58">
        <w:rPr>
          <w:rFonts w:ascii="Arial" w:hAnsi="Arial" w:cs="Arial"/>
          <w:sz w:val="24"/>
        </w:rPr>
        <w:t>October 2019</w:t>
      </w:r>
    </w:p>
    <w:sectPr w:rsidR="000D0234" w:rsidRPr="00A32F58" w:rsidSect="00A32F58">
      <w:pgSz w:w="11906" w:h="16838"/>
      <w:pgMar w:top="1009" w:right="1440" w:bottom="57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730" w:rsidRDefault="00252730" w:rsidP="00B1636D">
      <w:pPr>
        <w:spacing w:after="0" w:line="240" w:lineRule="auto"/>
      </w:pPr>
      <w:r>
        <w:separator/>
      </w:r>
    </w:p>
  </w:endnote>
  <w:endnote w:type="continuationSeparator" w:id="0">
    <w:p w:rsidR="00252730" w:rsidRDefault="00252730" w:rsidP="00B1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730" w:rsidRDefault="00252730" w:rsidP="00B1636D">
      <w:pPr>
        <w:spacing w:after="0" w:line="240" w:lineRule="auto"/>
      </w:pPr>
      <w:r>
        <w:separator/>
      </w:r>
    </w:p>
  </w:footnote>
  <w:footnote w:type="continuationSeparator" w:id="0">
    <w:p w:rsidR="00252730" w:rsidRDefault="00252730" w:rsidP="00B16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7ABF"/>
    <w:multiLevelType w:val="hybridMultilevel"/>
    <w:tmpl w:val="CFF22464"/>
    <w:lvl w:ilvl="0" w:tplc="35461BF4">
      <w:start w:val="8"/>
      <w:numFmt w:val="lowerLetter"/>
      <w:lvlText w:val="(%1)"/>
      <w:lvlJc w:val="left"/>
      <w:pPr>
        <w:ind w:left="1800" w:hanging="360"/>
      </w:pPr>
      <w:rPr>
        <w:rFonts w:hint="default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3E277C5"/>
    <w:multiLevelType w:val="hybridMultilevel"/>
    <w:tmpl w:val="B1127502"/>
    <w:lvl w:ilvl="0" w:tplc="C48EEDF6">
      <w:start w:val="1"/>
      <w:numFmt w:val="lowerLetter"/>
      <w:lvlText w:val="(%1)"/>
      <w:lvlJc w:val="left"/>
      <w:pPr>
        <w:ind w:left="1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10" w:hanging="360"/>
      </w:pPr>
    </w:lvl>
    <w:lvl w:ilvl="2" w:tplc="0809001B" w:tentative="1">
      <w:start w:val="1"/>
      <w:numFmt w:val="lowerRoman"/>
      <w:lvlText w:val="%3."/>
      <w:lvlJc w:val="right"/>
      <w:pPr>
        <w:ind w:left="2830" w:hanging="180"/>
      </w:pPr>
    </w:lvl>
    <w:lvl w:ilvl="3" w:tplc="0809000F" w:tentative="1">
      <w:start w:val="1"/>
      <w:numFmt w:val="decimal"/>
      <w:lvlText w:val="%4."/>
      <w:lvlJc w:val="left"/>
      <w:pPr>
        <w:ind w:left="3550" w:hanging="360"/>
      </w:pPr>
    </w:lvl>
    <w:lvl w:ilvl="4" w:tplc="08090019" w:tentative="1">
      <w:start w:val="1"/>
      <w:numFmt w:val="lowerLetter"/>
      <w:lvlText w:val="%5."/>
      <w:lvlJc w:val="left"/>
      <w:pPr>
        <w:ind w:left="4270" w:hanging="360"/>
      </w:pPr>
    </w:lvl>
    <w:lvl w:ilvl="5" w:tplc="0809001B" w:tentative="1">
      <w:start w:val="1"/>
      <w:numFmt w:val="lowerRoman"/>
      <w:lvlText w:val="%6."/>
      <w:lvlJc w:val="right"/>
      <w:pPr>
        <w:ind w:left="4990" w:hanging="180"/>
      </w:pPr>
    </w:lvl>
    <w:lvl w:ilvl="6" w:tplc="0809000F" w:tentative="1">
      <w:start w:val="1"/>
      <w:numFmt w:val="decimal"/>
      <w:lvlText w:val="%7."/>
      <w:lvlJc w:val="left"/>
      <w:pPr>
        <w:ind w:left="5710" w:hanging="360"/>
      </w:pPr>
    </w:lvl>
    <w:lvl w:ilvl="7" w:tplc="08090019" w:tentative="1">
      <w:start w:val="1"/>
      <w:numFmt w:val="lowerLetter"/>
      <w:lvlText w:val="%8."/>
      <w:lvlJc w:val="left"/>
      <w:pPr>
        <w:ind w:left="6430" w:hanging="360"/>
      </w:pPr>
    </w:lvl>
    <w:lvl w:ilvl="8" w:tplc="0809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2">
    <w:nsid w:val="62B92988"/>
    <w:multiLevelType w:val="hybridMultilevel"/>
    <w:tmpl w:val="B538A6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B31B8"/>
    <w:multiLevelType w:val="hybridMultilevel"/>
    <w:tmpl w:val="18DE61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C4"/>
    <w:rsid w:val="0002677B"/>
    <w:rsid w:val="00055244"/>
    <w:rsid w:val="000D0234"/>
    <w:rsid w:val="000E4E08"/>
    <w:rsid w:val="001030D0"/>
    <w:rsid w:val="001B6B11"/>
    <w:rsid w:val="001B7D78"/>
    <w:rsid w:val="0020634B"/>
    <w:rsid w:val="00252730"/>
    <w:rsid w:val="00365FB7"/>
    <w:rsid w:val="003F0BF3"/>
    <w:rsid w:val="003F3101"/>
    <w:rsid w:val="004E5598"/>
    <w:rsid w:val="00501D40"/>
    <w:rsid w:val="0058506E"/>
    <w:rsid w:val="007433C0"/>
    <w:rsid w:val="00772F54"/>
    <w:rsid w:val="0091328E"/>
    <w:rsid w:val="00A32F58"/>
    <w:rsid w:val="00AA081C"/>
    <w:rsid w:val="00B046B3"/>
    <w:rsid w:val="00B1636D"/>
    <w:rsid w:val="00BD3CC4"/>
    <w:rsid w:val="00C7506D"/>
    <w:rsid w:val="00CA66D8"/>
    <w:rsid w:val="00D67F49"/>
    <w:rsid w:val="00D74D6A"/>
    <w:rsid w:val="00DB0ADB"/>
    <w:rsid w:val="00EF071D"/>
    <w:rsid w:val="00F04826"/>
    <w:rsid w:val="00FF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BD3C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16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36D"/>
  </w:style>
  <w:style w:type="paragraph" w:styleId="Footer">
    <w:name w:val="footer"/>
    <w:basedOn w:val="Normal"/>
    <w:link w:val="FooterChar"/>
    <w:uiPriority w:val="99"/>
    <w:unhideWhenUsed/>
    <w:rsid w:val="00B16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36D"/>
  </w:style>
  <w:style w:type="paragraph" w:styleId="NoSpacing">
    <w:name w:val="No Spacing"/>
    <w:uiPriority w:val="1"/>
    <w:qFormat/>
    <w:rsid w:val="00B046B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7F49"/>
    <w:pPr>
      <w:ind w:left="720"/>
      <w:contextualSpacing/>
    </w:pPr>
  </w:style>
  <w:style w:type="paragraph" w:customStyle="1" w:styleId="TableText">
    <w:name w:val="Table Text"/>
    <w:basedOn w:val="Normal"/>
    <w:uiPriority w:val="99"/>
    <w:rsid w:val="00D67F49"/>
    <w:pPr>
      <w:overflowPunct w:val="0"/>
      <w:autoSpaceDE w:val="0"/>
      <w:autoSpaceDN w:val="0"/>
      <w:adjustRightInd w:val="0"/>
      <w:spacing w:after="0" w:line="240" w:lineRule="auto"/>
      <w:ind w:left="144" w:right="144"/>
      <w:jc w:val="both"/>
      <w:textAlignment w:val="baseline"/>
    </w:pPr>
    <w:rPr>
      <w:rFonts w:ascii="CG Omega (W1)" w:eastAsia="Times New Roman" w:hAnsi="CG Omega (W1)" w:cs="Times New Roman"/>
      <w:szCs w:val="20"/>
      <w:lang w:val="en-US"/>
    </w:rPr>
  </w:style>
  <w:style w:type="table" w:styleId="TableGrid">
    <w:name w:val="Table Grid"/>
    <w:basedOn w:val="TableNormal"/>
    <w:uiPriority w:val="59"/>
    <w:rsid w:val="00055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BD3C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16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36D"/>
  </w:style>
  <w:style w:type="paragraph" w:styleId="Footer">
    <w:name w:val="footer"/>
    <w:basedOn w:val="Normal"/>
    <w:link w:val="FooterChar"/>
    <w:uiPriority w:val="99"/>
    <w:unhideWhenUsed/>
    <w:rsid w:val="00B16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36D"/>
  </w:style>
  <w:style w:type="paragraph" w:styleId="NoSpacing">
    <w:name w:val="No Spacing"/>
    <w:uiPriority w:val="1"/>
    <w:qFormat/>
    <w:rsid w:val="00B046B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7F49"/>
    <w:pPr>
      <w:ind w:left="720"/>
      <w:contextualSpacing/>
    </w:pPr>
  </w:style>
  <w:style w:type="paragraph" w:customStyle="1" w:styleId="TableText">
    <w:name w:val="Table Text"/>
    <w:basedOn w:val="Normal"/>
    <w:uiPriority w:val="99"/>
    <w:rsid w:val="00D67F49"/>
    <w:pPr>
      <w:overflowPunct w:val="0"/>
      <w:autoSpaceDE w:val="0"/>
      <w:autoSpaceDN w:val="0"/>
      <w:adjustRightInd w:val="0"/>
      <w:spacing w:after="0" w:line="240" w:lineRule="auto"/>
      <w:ind w:left="144" w:right="144"/>
      <w:jc w:val="both"/>
      <w:textAlignment w:val="baseline"/>
    </w:pPr>
    <w:rPr>
      <w:rFonts w:ascii="CG Omega (W1)" w:eastAsia="Times New Roman" w:hAnsi="CG Omega (W1)" w:cs="Times New Roman"/>
      <w:szCs w:val="20"/>
      <w:lang w:val="en-US"/>
    </w:rPr>
  </w:style>
  <w:style w:type="table" w:styleId="TableGrid">
    <w:name w:val="Table Grid"/>
    <w:basedOn w:val="TableNormal"/>
    <w:uiPriority w:val="59"/>
    <w:rsid w:val="00055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CEC</Company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Tavener</dc:creator>
  <cp:lastModifiedBy>Jim Watts</cp:lastModifiedBy>
  <cp:revision>10</cp:revision>
  <cp:lastPrinted>2018-04-13T12:37:00Z</cp:lastPrinted>
  <dcterms:created xsi:type="dcterms:W3CDTF">2019-09-03T10:48:00Z</dcterms:created>
  <dcterms:modified xsi:type="dcterms:W3CDTF">2019-09-13T15:39:00Z</dcterms:modified>
</cp:coreProperties>
</file>